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宋体" w:eastAsia="宋体" w:hAnsi="宋体" w:cs="Times New Roman"/>
          <w:b/>
          <w:bCs/>
          <w:kern w:val="0"/>
          <w:sz w:val="28"/>
          <w:szCs w:val="28"/>
        </w:rPr>
        <w:id w:val="-1637565294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53008F" w:rsidRDefault="0053008F">
          <w:pPr>
            <w:jc w:val="center"/>
            <w:rPr>
              <w:rFonts w:ascii="宋体" w:eastAsia="宋体" w:hAnsi="宋体" w:cs="Times New Roman"/>
              <w:b/>
              <w:bCs/>
              <w:kern w:val="0"/>
              <w:sz w:val="28"/>
              <w:szCs w:val="28"/>
            </w:rPr>
          </w:pPr>
        </w:p>
        <w:p w:rsidR="0053008F" w:rsidRDefault="0053008F">
          <w:pPr>
            <w:jc w:val="center"/>
            <w:rPr>
              <w:rFonts w:ascii="宋体" w:eastAsia="宋体" w:hAnsi="宋体" w:cs="Times New Roman"/>
              <w:b/>
              <w:bCs/>
              <w:kern w:val="0"/>
              <w:sz w:val="28"/>
              <w:szCs w:val="28"/>
            </w:rPr>
          </w:pPr>
        </w:p>
        <w:p w:rsidR="0053008F" w:rsidRDefault="0053008F">
          <w:pPr>
            <w:jc w:val="center"/>
            <w:rPr>
              <w:rFonts w:ascii="宋体" w:eastAsia="宋体" w:hAnsi="宋体" w:cs="Times New Roman"/>
              <w:b/>
              <w:bCs/>
              <w:kern w:val="0"/>
              <w:sz w:val="28"/>
              <w:szCs w:val="28"/>
            </w:rPr>
          </w:pPr>
        </w:p>
        <w:p w:rsidR="0053008F" w:rsidRDefault="0053008F">
          <w:pPr>
            <w:jc w:val="center"/>
            <w:rPr>
              <w:rFonts w:ascii="宋体" w:eastAsia="宋体" w:hAnsi="宋体" w:cs="Times New Roman"/>
              <w:b/>
              <w:bCs/>
              <w:kern w:val="0"/>
              <w:sz w:val="28"/>
              <w:szCs w:val="28"/>
            </w:rPr>
          </w:pPr>
        </w:p>
        <w:p w:rsidR="0053008F" w:rsidRDefault="0053008F">
          <w:pPr>
            <w:jc w:val="center"/>
            <w:rPr>
              <w:rFonts w:ascii="宋体" w:eastAsia="宋体" w:hAnsi="宋体" w:cs="Times New Roman"/>
              <w:b/>
              <w:bCs/>
              <w:kern w:val="0"/>
              <w:sz w:val="28"/>
              <w:szCs w:val="28"/>
            </w:rPr>
          </w:pPr>
        </w:p>
        <w:p w:rsidR="0053008F" w:rsidRDefault="0053008F">
          <w:pPr>
            <w:jc w:val="center"/>
            <w:rPr>
              <w:rFonts w:ascii="宋体" w:eastAsia="宋体" w:hAnsi="宋体" w:cs="Times New Roman"/>
              <w:b/>
              <w:bCs/>
              <w:kern w:val="0"/>
              <w:sz w:val="28"/>
              <w:szCs w:val="28"/>
            </w:rPr>
          </w:pPr>
        </w:p>
        <w:p w:rsidR="0053008F" w:rsidRDefault="0053008F">
          <w:pPr>
            <w:jc w:val="center"/>
            <w:rPr>
              <w:rFonts w:ascii="宋体" w:eastAsia="宋体" w:hAnsi="宋体" w:cs="Times New Roman"/>
              <w:b/>
              <w:bCs/>
              <w:kern w:val="0"/>
              <w:sz w:val="28"/>
              <w:szCs w:val="28"/>
            </w:rPr>
          </w:pPr>
        </w:p>
        <w:p w:rsidR="0053008F" w:rsidRDefault="0053008F">
          <w:pPr>
            <w:jc w:val="center"/>
            <w:rPr>
              <w:rFonts w:ascii="宋体" w:eastAsia="宋体" w:hAnsi="宋体" w:cs="Times New Roman"/>
              <w:b/>
              <w:bCs/>
              <w:kern w:val="0"/>
              <w:sz w:val="28"/>
              <w:szCs w:val="28"/>
            </w:rPr>
          </w:pPr>
        </w:p>
        <w:p w:rsidR="0053008F" w:rsidRDefault="0053008F">
          <w:pPr>
            <w:jc w:val="center"/>
            <w:rPr>
              <w:rFonts w:ascii="宋体" w:eastAsia="宋体" w:hAnsi="宋体" w:cs="Times New Roman"/>
              <w:b/>
              <w:bCs/>
              <w:kern w:val="0"/>
              <w:sz w:val="28"/>
              <w:szCs w:val="28"/>
            </w:rPr>
          </w:pPr>
        </w:p>
        <w:p w:rsidR="0053008F" w:rsidRDefault="0053008F">
          <w:pPr>
            <w:jc w:val="center"/>
            <w:rPr>
              <w:rFonts w:ascii="宋体" w:eastAsia="宋体" w:hAnsi="宋体"/>
              <w:b/>
              <w:bCs/>
              <w:sz w:val="44"/>
              <w:szCs w:val="44"/>
            </w:rPr>
          </w:pPr>
          <w:r w:rsidRPr="0053008F">
            <w:rPr>
              <w:rFonts w:ascii="宋体" w:eastAsia="宋体" w:hAnsi="宋体" w:hint="eastAsia"/>
              <w:b/>
              <w:bCs/>
              <w:sz w:val="44"/>
              <w:szCs w:val="44"/>
            </w:rPr>
            <w:t>梧州学院2016-2017学年</w:t>
          </w:r>
        </w:p>
        <w:p w:rsidR="0053008F" w:rsidRPr="0053008F" w:rsidRDefault="0053008F">
          <w:pPr>
            <w:jc w:val="center"/>
            <w:rPr>
              <w:rFonts w:ascii="宋体" w:eastAsia="宋体" w:hAnsi="宋体"/>
              <w:b/>
              <w:bCs/>
              <w:sz w:val="44"/>
              <w:szCs w:val="44"/>
            </w:rPr>
          </w:pPr>
          <w:r w:rsidRPr="0053008F">
            <w:rPr>
              <w:rFonts w:ascii="宋体" w:eastAsia="宋体" w:hAnsi="宋体" w:hint="eastAsia"/>
              <w:b/>
              <w:bCs/>
              <w:sz w:val="44"/>
              <w:szCs w:val="44"/>
            </w:rPr>
            <w:t>《本科教学质量报告》支撑数据汇总表</w:t>
          </w:r>
        </w:p>
        <w:p w:rsidR="0053008F" w:rsidRDefault="0053008F">
          <w:pPr>
            <w:widowControl/>
            <w:jc w:val="left"/>
            <w:rPr>
              <w:rFonts w:ascii="宋体" w:eastAsia="宋体" w:hAnsi="宋体"/>
              <w:b/>
              <w:bCs/>
              <w:sz w:val="28"/>
              <w:szCs w:val="28"/>
            </w:rPr>
          </w:pPr>
          <w:r>
            <w:rPr>
              <w:rFonts w:ascii="宋体" w:eastAsia="宋体" w:hAnsi="宋体"/>
              <w:b/>
              <w:bCs/>
              <w:sz w:val="28"/>
              <w:szCs w:val="28"/>
            </w:rPr>
            <w:br w:type="page"/>
          </w:r>
        </w:p>
        <w:p w:rsidR="00C84DB9" w:rsidRDefault="00C84DB9">
          <w:pPr>
            <w:jc w:val="center"/>
            <w:rPr>
              <w:rFonts w:ascii="宋体" w:eastAsia="宋体" w:hAnsi="宋体"/>
              <w:b/>
              <w:bCs/>
              <w:sz w:val="28"/>
              <w:szCs w:val="28"/>
            </w:rPr>
          </w:pPr>
        </w:p>
        <w:p w:rsidR="00C84DB9" w:rsidRDefault="0053008F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rFonts w:ascii="宋体" w:eastAsia="宋体" w:hAnsi="宋体"/>
              <w:b/>
              <w:bCs/>
              <w:sz w:val="28"/>
              <w:szCs w:val="28"/>
            </w:rPr>
            <w:t>目录</w:t>
          </w:r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29097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147467255"/>
                <w:placeholder>
                  <w:docPart w:val="{aa6ea51c-cc56-4781-b232-3bb183fc1223}"/>
                </w:placeholder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1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：学校专业设置一览表</w:t>
                </w:r>
              </w:sdtContent>
            </w:sdt>
            <w:r w:rsidR="0053008F">
              <w:tab/>
              <w:t>2</w:t>
            </w:r>
          </w:hyperlink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17532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1716387475"/>
                <w:placeholder>
                  <w:docPart w:val="{6f4e9128-0c50-4376-90e4-d5f2d547f762}"/>
                </w:placeholder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2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：专业设置情况</w:t>
                </w:r>
              </w:sdtContent>
            </w:sdt>
            <w:r w:rsidR="0053008F">
              <w:tab/>
              <w:t>3</w:t>
            </w:r>
          </w:hyperlink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31064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-927272064"/>
                <w:placeholder>
                  <w:docPart w:val="{d68f6ab2-3d5b-4565-be4b-b48764b2d90b}"/>
                </w:placeholder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3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：在校生情况、生师比</w:t>
                </w:r>
              </w:sdtContent>
            </w:sdt>
            <w:r w:rsidR="0053008F">
              <w:tab/>
              <w:t>3</w:t>
            </w:r>
          </w:hyperlink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10317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-166563039"/>
                <w:placeholder>
                  <w:docPart w:val="{036bd21f-9a4b-48fd-a1ac-1067b11af3ed}"/>
                </w:placeholder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4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：教师数量和学历结构</w:t>
                </w:r>
              </w:sdtContent>
            </w:sdt>
            <w:r w:rsidR="0053008F">
              <w:tab/>
              <w:t>3</w:t>
            </w:r>
          </w:hyperlink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13887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102082972"/>
                <w:placeholder>
                  <w:docPart w:val="{d1543282-dff7-4260-8b7f-8701e7630923}"/>
                </w:placeholder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5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：教师职称和年龄结构</w:t>
                </w:r>
              </w:sdtContent>
            </w:sdt>
            <w:r w:rsidR="0053008F">
              <w:tab/>
              <w:t>3</w:t>
            </w:r>
          </w:hyperlink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29093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947819071"/>
                <w:placeholder>
                  <w:docPart w:val="{144d1956-700e-4047-84f7-66f3002afe00}"/>
                </w:placeholder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6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：教学经费、教学设施和条件</w:t>
                </w:r>
              </w:sdtContent>
            </w:sdt>
            <w:r w:rsidR="0053008F">
              <w:tab/>
              <w:t>3</w:t>
            </w:r>
          </w:hyperlink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11955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-368144503"/>
                <w:placeholder>
                  <w:docPart w:val="{1e9bd3f4-9acb-4269-aa9b-561a0a5e6001}"/>
                </w:placeholder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7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：图书资源情况</w:t>
                </w:r>
              </w:sdtContent>
            </w:sdt>
            <w:r w:rsidR="0053008F">
              <w:tab/>
              <w:t>3</w:t>
            </w:r>
          </w:hyperlink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3324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-938211726"/>
                <w:placeholder>
                  <w:docPart w:val="{77ce98f8-c788-47be-8490-ef2e57e68384}"/>
                </w:placeholder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8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：教学运行状态</w:t>
                </w:r>
              </w:sdtContent>
            </w:sdt>
            <w:r w:rsidR="0053008F">
              <w:tab/>
              <w:t>3</w:t>
            </w:r>
          </w:hyperlink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18486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-1780476944"/>
                <w:placeholder>
                  <w:docPart w:val="{ad6fdb31-0a6f-430e-ad9b-aff924fd4224}"/>
                </w:placeholder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9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：实践教学学分占总学分比例（分学科门类）</w:t>
                </w:r>
              </w:sdtContent>
            </w:sdt>
            <w:r w:rsidR="0053008F">
              <w:tab/>
              <w:t>4</w:t>
            </w:r>
          </w:hyperlink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4339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690798153"/>
                <w:placeholder>
                  <w:docPart w:val="{385e33bf-25a5-4059-b162-266ff57a2283}"/>
                </w:placeholder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10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：选修课学分占总学分比例（分学科门类）</w:t>
                </w:r>
              </w:sdtContent>
            </w:sdt>
            <w:r w:rsidR="0053008F">
              <w:tab/>
              <w:t>4</w:t>
            </w:r>
          </w:hyperlink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4464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1585799065"/>
                <w:placeholder>
                  <w:docPart w:val="{a23105cd-86f9-44b8-9565-d73677b925e2}"/>
                </w:placeholder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11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：毕业生情况</w:t>
                </w:r>
              </w:sdtContent>
            </w:sdt>
            <w:r w:rsidR="0053008F">
              <w:tab/>
              <w:t>4</w:t>
            </w:r>
          </w:hyperlink>
        </w:p>
        <w:p w:rsidR="00C84DB9" w:rsidRDefault="00FC173E">
          <w:pPr>
            <w:pStyle w:val="WPSOffice1"/>
            <w:tabs>
              <w:tab w:val="right" w:leader="dot" w:pos="8306"/>
            </w:tabs>
          </w:pPr>
          <w:hyperlink w:anchor="_Toc25104" w:history="1">
            <w:sdt>
              <w:sdtPr>
                <w:rPr>
                  <w:rFonts w:asciiTheme="minorHAnsi" w:eastAsiaTheme="minorEastAsia" w:hAnsiTheme="minorHAnsi" w:cstheme="minorBidi"/>
                  <w:kern w:val="2"/>
                  <w:sz w:val="21"/>
                  <w:szCs w:val="24"/>
                </w:rPr>
                <w:id w:val="-1074656083"/>
              </w:sdtPr>
              <w:sdtContent>
                <w:r w:rsidR="0053008F">
                  <w:rPr>
                    <w:rFonts w:asciiTheme="minorHAnsi" w:eastAsiaTheme="minorEastAsia" w:hAnsiTheme="minorHAnsi" w:cstheme="minorBidi" w:hint="eastAsia"/>
                  </w:rPr>
                  <w:t>表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12</w:t>
                </w:r>
                <w:r w:rsidR="0053008F">
                  <w:rPr>
                    <w:rFonts w:asciiTheme="minorHAnsi" w:eastAsiaTheme="minorEastAsia" w:hAnsiTheme="minorHAnsi" w:cstheme="minorBidi" w:hint="eastAsia"/>
                  </w:rPr>
                  <w:t>：其他与本科教学质量相关数据</w:t>
                </w:r>
              </w:sdtContent>
            </w:sdt>
            <w:r w:rsidR="0053008F">
              <w:tab/>
              <w:t>4</w:t>
            </w:r>
          </w:hyperlink>
        </w:p>
      </w:sdtContent>
    </w:sdt>
    <w:p w:rsidR="0053008F" w:rsidRDefault="0053008F">
      <w:pPr>
        <w:widowControl/>
        <w:jc w:val="left"/>
        <w:rPr>
          <w:b/>
          <w:bCs/>
        </w:rPr>
      </w:pPr>
      <w:bookmarkStart w:id="0" w:name="_Toc29097"/>
      <w:r>
        <w:rPr>
          <w:b/>
          <w:bCs/>
        </w:rPr>
        <w:br w:type="page"/>
      </w:r>
    </w:p>
    <w:p w:rsidR="00C84DB9" w:rsidRDefault="0053008F">
      <w:pPr>
        <w:outlineLvl w:val="0"/>
        <w:rPr>
          <w:b/>
          <w:bCs/>
        </w:rPr>
      </w:pPr>
      <w:r>
        <w:rPr>
          <w:rFonts w:hint="eastAsia"/>
          <w:b/>
          <w:bCs/>
        </w:rPr>
        <w:lastRenderedPageBreak/>
        <w:t>表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：学校专业设置一览表</w:t>
      </w:r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69"/>
        <w:gridCol w:w="1080"/>
        <w:gridCol w:w="2160"/>
        <w:gridCol w:w="1080"/>
        <w:gridCol w:w="1410"/>
        <w:gridCol w:w="2123"/>
      </w:tblGrid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专业代码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专业名称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修业年限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学科授予门类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所属学院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082403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林产化工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化学工程与资源再利用学院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081302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制药工程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化学工程与资源再利用学院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080203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材料成型及控制工程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机械与材料工程学院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080202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机械设计制造及其自动化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机械与材料工程学院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080205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工业设计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机械与材料工程学院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080801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自动化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机械与材料工程学院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080901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计算机科学与技术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信息与电子工程学院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080702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电子科学与技术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信息与电子工程学院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080902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软件工程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信息与电子工程学院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080905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物联网工程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信息与电子工程学院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080906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数字媒体技术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信息与电子工程学院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080703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通信工程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信息与电子工程学院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080701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电子信息工程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信息与电子工程学院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020302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金融工程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经济管理学院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020401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国际经济与贸易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经济管理学院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120201K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工商管理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经济管理学院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120901K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旅游管理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经济管理学院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120801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电子商务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经济管理学院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120204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财务管理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经济管理学院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120202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市场营销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经济管理学院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120601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物流管理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经济管理学院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120402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行政管理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文法学院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120401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公共事业管理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文法学院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050103</w:t>
            </w:r>
          </w:p>
        </w:tc>
        <w:tc>
          <w:tcPr>
            <w:tcW w:w="216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汉语国际教育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文学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国际交流学院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050262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商务英语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文学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国际交流学院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050261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翻译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文学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国际交流学院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050201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文学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师范学院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050101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汉语言文学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文学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文法学院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050301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新闻学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文学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文法学院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130505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服装与服饰设计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艺术学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宝石与艺术设计学院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31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130502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视觉传达设计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艺术学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宝石与艺术设计学院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130503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环境设计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艺术学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宝石与艺术设计学院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33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130504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产品设计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艺术学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宝石与艺术设计学院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34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130310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动画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艺术学</w:t>
            </w:r>
          </w:p>
        </w:tc>
        <w:tc>
          <w:tcPr>
            <w:tcW w:w="2123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宝石与艺术设计学院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130202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音乐学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艺术学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师范学院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040107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小学教育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师范学院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37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040106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学前教育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师范学院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38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070101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数学与应用数学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理学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信息与电子工程学院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39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070202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应用物理学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理学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信息与电子工程学院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070102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信息与计算科学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理学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信息与电子工程学院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41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010101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哲学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哲学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文法学院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42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030101K</w:t>
            </w:r>
          </w:p>
        </w:tc>
        <w:tc>
          <w:tcPr>
            <w:tcW w:w="216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法学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法学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文法学院</w:t>
            </w:r>
          </w:p>
        </w:tc>
      </w:tr>
      <w:tr w:rsidR="00C84DB9">
        <w:trPr>
          <w:trHeight w:hRule="exact" w:val="283"/>
        </w:trPr>
        <w:tc>
          <w:tcPr>
            <w:tcW w:w="669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43</w:t>
            </w:r>
          </w:p>
        </w:tc>
        <w:tc>
          <w:tcPr>
            <w:tcW w:w="1080" w:type="dxa"/>
            <w:vAlign w:val="center"/>
          </w:tcPr>
          <w:p w:rsidR="00C84DB9" w:rsidRDefault="0053008F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090107T</w:t>
            </w:r>
          </w:p>
        </w:tc>
        <w:tc>
          <w:tcPr>
            <w:tcW w:w="216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茶学</w:t>
            </w:r>
          </w:p>
        </w:tc>
        <w:tc>
          <w:tcPr>
            <w:tcW w:w="108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10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农学</w:t>
            </w:r>
          </w:p>
        </w:tc>
        <w:tc>
          <w:tcPr>
            <w:tcW w:w="2123" w:type="dxa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化学工程与资源再利用学院</w:t>
            </w:r>
          </w:p>
        </w:tc>
      </w:tr>
    </w:tbl>
    <w:p w:rsidR="0053008F" w:rsidRDefault="0053008F">
      <w:pPr>
        <w:outlineLvl w:val="0"/>
        <w:rPr>
          <w:b/>
          <w:bCs/>
        </w:rPr>
      </w:pPr>
      <w:bookmarkStart w:id="1" w:name="_Toc17532"/>
    </w:p>
    <w:p w:rsidR="0053008F" w:rsidRDefault="0053008F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C84DB9" w:rsidRDefault="0053008F">
      <w:pPr>
        <w:outlineLvl w:val="0"/>
        <w:rPr>
          <w:b/>
          <w:bCs/>
        </w:rPr>
      </w:pPr>
      <w:r>
        <w:rPr>
          <w:rFonts w:hint="eastAsia"/>
          <w:b/>
          <w:bCs/>
        </w:rPr>
        <w:lastRenderedPageBreak/>
        <w:t>表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：专业设置情况</w:t>
      </w:r>
      <w:bookmarkEnd w:id="1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56"/>
        <w:gridCol w:w="1560"/>
        <w:gridCol w:w="2096"/>
        <w:gridCol w:w="1705"/>
        <w:gridCol w:w="1705"/>
      </w:tblGrid>
      <w:tr w:rsidR="00C84DB9">
        <w:tc>
          <w:tcPr>
            <w:tcW w:w="1456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560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本科专业总数</w:t>
            </w:r>
          </w:p>
        </w:tc>
        <w:tc>
          <w:tcPr>
            <w:tcW w:w="2096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当年本科招生专业总数</w:t>
            </w:r>
          </w:p>
        </w:tc>
        <w:tc>
          <w:tcPr>
            <w:tcW w:w="170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当年新增专业名单</w:t>
            </w:r>
          </w:p>
        </w:tc>
        <w:tc>
          <w:tcPr>
            <w:tcW w:w="170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停招专业名单</w:t>
            </w:r>
          </w:p>
        </w:tc>
      </w:tr>
      <w:tr w:rsidR="00C84DB9">
        <w:tc>
          <w:tcPr>
            <w:tcW w:w="1456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梧州学院</w:t>
            </w:r>
          </w:p>
        </w:tc>
        <w:tc>
          <w:tcPr>
            <w:tcW w:w="1560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096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70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茶学、材料成型及控制工程、汉语国际教育</w:t>
            </w:r>
          </w:p>
        </w:tc>
        <w:tc>
          <w:tcPr>
            <w:tcW w:w="170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C84DB9" w:rsidRDefault="00C84DB9"/>
    <w:p w:rsidR="00C84DB9" w:rsidRDefault="0053008F">
      <w:pPr>
        <w:outlineLvl w:val="0"/>
        <w:rPr>
          <w:b/>
          <w:bCs/>
        </w:rPr>
      </w:pPr>
      <w:bookmarkStart w:id="2" w:name="_Toc31064"/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：在校生情况、生师比</w:t>
      </w:r>
      <w:bookmarkEnd w:id="2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84DB9">
        <w:tc>
          <w:tcPr>
            <w:tcW w:w="121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21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折合在校生数</w:t>
            </w:r>
          </w:p>
        </w:tc>
        <w:tc>
          <w:tcPr>
            <w:tcW w:w="121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全日制本科在校生数</w:t>
            </w:r>
          </w:p>
        </w:tc>
        <w:tc>
          <w:tcPr>
            <w:tcW w:w="121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全日制专科生人数</w:t>
            </w:r>
          </w:p>
        </w:tc>
        <w:tc>
          <w:tcPr>
            <w:tcW w:w="1218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全日制在校生数</w:t>
            </w:r>
          </w:p>
        </w:tc>
        <w:tc>
          <w:tcPr>
            <w:tcW w:w="1218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本科生占全日制在校生比例</w:t>
            </w:r>
          </w:p>
        </w:tc>
        <w:tc>
          <w:tcPr>
            <w:tcW w:w="1218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生师比</w:t>
            </w:r>
          </w:p>
        </w:tc>
      </w:tr>
      <w:tr w:rsidR="00C84DB9">
        <w:tc>
          <w:tcPr>
            <w:tcW w:w="121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梧州学院</w:t>
            </w:r>
          </w:p>
        </w:tc>
        <w:tc>
          <w:tcPr>
            <w:tcW w:w="121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16204.4</w:t>
            </w:r>
          </w:p>
        </w:tc>
        <w:tc>
          <w:tcPr>
            <w:tcW w:w="121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13498</w:t>
            </w:r>
          </w:p>
        </w:tc>
        <w:tc>
          <w:tcPr>
            <w:tcW w:w="121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1540</w:t>
            </w:r>
          </w:p>
        </w:tc>
        <w:tc>
          <w:tcPr>
            <w:tcW w:w="1218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15305</w:t>
            </w:r>
          </w:p>
        </w:tc>
        <w:tc>
          <w:tcPr>
            <w:tcW w:w="1218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88.19%</w:t>
            </w:r>
          </w:p>
        </w:tc>
        <w:tc>
          <w:tcPr>
            <w:tcW w:w="1218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21.75</w:t>
            </w:r>
          </w:p>
        </w:tc>
      </w:tr>
    </w:tbl>
    <w:p w:rsidR="00C84DB9" w:rsidRDefault="00C84DB9"/>
    <w:p w:rsidR="00C84DB9" w:rsidRDefault="0053008F">
      <w:pPr>
        <w:outlineLvl w:val="0"/>
        <w:rPr>
          <w:b/>
          <w:bCs/>
        </w:rPr>
      </w:pPr>
      <w:bookmarkStart w:id="3" w:name="_Toc10317"/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：教师数量和学历结构</w:t>
      </w:r>
      <w:bookmarkEnd w:id="3"/>
    </w:p>
    <w:tbl>
      <w:tblPr>
        <w:tblStyle w:val="a3"/>
        <w:tblW w:w="8516" w:type="dxa"/>
        <w:tblLayout w:type="fixed"/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776"/>
        <w:gridCol w:w="776"/>
        <w:gridCol w:w="764"/>
      </w:tblGrid>
      <w:tr w:rsidR="00C84DB9">
        <w:tc>
          <w:tcPr>
            <w:tcW w:w="775" w:type="dxa"/>
            <w:vMerge w:val="restart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775" w:type="dxa"/>
            <w:vMerge w:val="restart"/>
            <w:vAlign w:val="center"/>
          </w:tcPr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专任教师数</w:t>
            </w:r>
          </w:p>
        </w:tc>
        <w:tc>
          <w:tcPr>
            <w:tcW w:w="775" w:type="dxa"/>
            <w:vMerge w:val="restart"/>
            <w:vAlign w:val="center"/>
          </w:tcPr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外聘教师数</w:t>
            </w:r>
          </w:p>
        </w:tc>
        <w:tc>
          <w:tcPr>
            <w:tcW w:w="1550" w:type="dxa"/>
            <w:gridSpan w:val="2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具有博士学位</w:t>
            </w:r>
          </w:p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专任教师</w:t>
            </w:r>
          </w:p>
        </w:tc>
        <w:tc>
          <w:tcPr>
            <w:tcW w:w="1550" w:type="dxa"/>
            <w:gridSpan w:val="2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具有硕士学位</w:t>
            </w:r>
          </w:p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专任教师</w:t>
            </w:r>
          </w:p>
        </w:tc>
        <w:tc>
          <w:tcPr>
            <w:tcW w:w="1551" w:type="dxa"/>
            <w:gridSpan w:val="2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具有学士学位</w:t>
            </w:r>
          </w:p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专任教师</w:t>
            </w:r>
          </w:p>
        </w:tc>
        <w:tc>
          <w:tcPr>
            <w:tcW w:w="1540" w:type="dxa"/>
            <w:gridSpan w:val="2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具有专科学历</w:t>
            </w:r>
          </w:p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专任教师</w:t>
            </w:r>
          </w:p>
        </w:tc>
      </w:tr>
      <w:tr w:rsidR="00C84DB9">
        <w:tc>
          <w:tcPr>
            <w:tcW w:w="775" w:type="dxa"/>
            <w:vMerge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775" w:type="dxa"/>
            <w:vMerge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775" w:type="dxa"/>
            <w:vMerge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64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比例</w:t>
            </w:r>
          </w:p>
        </w:tc>
      </w:tr>
      <w:tr w:rsidR="00C84DB9"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梧州学院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662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9.37%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60.73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26.13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64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3.78</w:t>
            </w:r>
          </w:p>
        </w:tc>
      </w:tr>
    </w:tbl>
    <w:p w:rsidR="00C84DB9" w:rsidRDefault="00C84DB9"/>
    <w:p w:rsidR="00C84DB9" w:rsidRDefault="0053008F">
      <w:pPr>
        <w:outlineLvl w:val="0"/>
        <w:rPr>
          <w:b/>
          <w:bCs/>
        </w:rPr>
      </w:pPr>
      <w:bookmarkStart w:id="4" w:name="_Toc13887"/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：教师职称和年龄结构</w:t>
      </w:r>
      <w:bookmarkEnd w:id="4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C84DB9">
        <w:tc>
          <w:tcPr>
            <w:tcW w:w="946" w:type="dxa"/>
            <w:vMerge w:val="restart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学校名称</w:t>
            </w:r>
          </w:p>
        </w:tc>
        <w:tc>
          <w:tcPr>
            <w:tcW w:w="1894" w:type="dxa"/>
            <w:gridSpan w:val="2"/>
            <w:vAlign w:val="center"/>
          </w:tcPr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具有正高级职称专任教师</w:t>
            </w:r>
          </w:p>
        </w:tc>
        <w:tc>
          <w:tcPr>
            <w:tcW w:w="1894" w:type="dxa"/>
            <w:gridSpan w:val="2"/>
            <w:vAlign w:val="center"/>
          </w:tcPr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具有副高级职称专任教师</w:t>
            </w:r>
          </w:p>
        </w:tc>
        <w:tc>
          <w:tcPr>
            <w:tcW w:w="947" w:type="dxa"/>
            <w:vMerge w:val="restart"/>
            <w:vAlign w:val="center"/>
          </w:tcPr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35岁以下（人）</w:t>
            </w:r>
          </w:p>
        </w:tc>
        <w:tc>
          <w:tcPr>
            <w:tcW w:w="947" w:type="dxa"/>
            <w:vMerge w:val="restart"/>
            <w:vAlign w:val="center"/>
          </w:tcPr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36-45岁（人）</w:t>
            </w:r>
          </w:p>
        </w:tc>
        <w:tc>
          <w:tcPr>
            <w:tcW w:w="947" w:type="dxa"/>
            <w:vMerge w:val="restart"/>
            <w:vAlign w:val="center"/>
          </w:tcPr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46-55岁（人）</w:t>
            </w:r>
          </w:p>
        </w:tc>
        <w:tc>
          <w:tcPr>
            <w:tcW w:w="947" w:type="dxa"/>
            <w:vMerge w:val="restart"/>
            <w:vAlign w:val="center"/>
          </w:tcPr>
          <w:p w:rsidR="00C84DB9" w:rsidRDefault="0053008F">
            <w:pPr>
              <w:jc w:val="center"/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56岁以上（人）</w:t>
            </w:r>
          </w:p>
        </w:tc>
      </w:tr>
      <w:tr w:rsidR="00C84DB9">
        <w:tc>
          <w:tcPr>
            <w:tcW w:w="946" w:type="dxa"/>
            <w:vMerge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人数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比例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人数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比例</w:t>
            </w:r>
          </w:p>
        </w:tc>
        <w:tc>
          <w:tcPr>
            <w:tcW w:w="947" w:type="dxa"/>
            <w:vMerge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947" w:type="dxa"/>
            <w:vMerge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947" w:type="dxa"/>
            <w:vMerge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947" w:type="dxa"/>
            <w:vMerge/>
            <w:vAlign w:val="center"/>
          </w:tcPr>
          <w:p w:rsidR="00C84DB9" w:rsidRDefault="00C84DB9">
            <w:pPr>
              <w:jc w:val="center"/>
            </w:pPr>
          </w:p>
        </w:tc>
      </w:tr>
      <w:tr w:rsidR="00C84DB9">
        <w:tc>
          <w:tcPr>
            <w:tcW w:w="946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梧州学院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3.62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178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26.89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261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258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134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</w:tr>
    </w:tbl>
    <w:p w:rsidR="00C84DB9" w:rsidRDefault="00C84DB9"/>
    <w:p w:rsidR="00C84DB9" w:rsidRDefault="0053008F">
      <w:pPr>
        <w:outlineLvl w:val="0"/>
        <w:rPr>
          <w:b/>
          <w:bCs/>
        </w:rPr>
      </w:pPr>
      <w:bookmarkStart w:id="5" w:name="_Toc29093"/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：教学经费、教学设施和条件</w:t>
      </w:r>
      <w:bookmarkEnd w:id="5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C84DB9">
        <w:tc>
          <w:tcPr>
            <w:tcW w:w="946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学校名称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生均本科教学日常运行支出（元）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本科专项教学经费（万元）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生均本科实验经费（元）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生均本科实习经费（元）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生均教学行政用房面积（平方米）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生均实验室面积（平方米）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生均教学科研设备值（万元）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 w:val="15"/>
                <w:szCs w:val="15"/>
              </w:rPr>
            </w:pPr>
            <w:r>
              <w:rPr>
                <w:rFonts w:ascii="宋体" w:eastAsia="宋体" w:hAnsi="宋体" w:cs="Calibri" w:hint="eastAsia"/>
                <w:sz w:val="15"/>
                <w:szCs w:val="15"/>
              </w:rPr>
              <w:t>当年新增教学科研仪器设备值(万元)</w:t>
            </w:r>
          </w:p>
          <w:p w:rsidR="00C84DB9" w:rsidRDefault="00C84DB9">
            <w:pPr>
              <w:tabs>
                <w:tab w:val="right" w:leader="dot" w:pos="8948"/>
              </w:tabs>
              <w:jc w:val="center"/>
              <w:rPr>
                <w:sz w:val="15"/>
                <w:szCs w:val="15"/>
              </w:rPr>
            </w:pPr>
          </w:p>
        </w:tc>
      </w:tr>
      <w:tr w:rsidR="00C84DB9">
        <w:tc>
          <w:tcPr>
            <w:tcW w:w="946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梧州学院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1470.57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5706.13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111.88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228.41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bookmarkStart w:id="6" w:name="_GoBack"/>
            <w:bookmarkEnd w:id="6"/>
            <w:r>
              <w:rPr>
                <w:rFonts w:hint="eastAsia"/>
                <w:sz w:val="15"/>
                <w:szCs w:val="15"/>
              </w:rPr>
              <w:t>8.14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0.97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0.72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1563.3</w:t>
            </w:r>
          </w:p>
        </w:tc>
      </w:tr>
    </w:tbl>
    <w:p w:rsidR="00C84DB9" w:rsidRDefault="00C84DB9"/>
    <w:p w:rsidR="00C84DB9" w:rsidRDefault="0053008F">
      <w:pPr>
        <w:outlineLvl w:val="0"/>
        <w:rPr>
          <w:b/>
          <w:bCs/>
        </w:rPr>
      </w:pPr>
      <w:bookmarkStart w:id="7" w:name="_Toc11955"/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：图书资源情况</w:t>
      </w:r>
      <w:bookmarkEnd w:id="7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84DB9">
        <w:tc>
          <w:tcPr>
            <w:tcW w:w="2130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130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生均图书（册）</w:t>
            </w:r>
          </w:p>
        </w:tc>
        <w:tc>
          <w:tcPr>
            <w:tcW w:w="2131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电子图书、电子期刊（种）</w:t>
            </w:r>
          </w:p>
        </w:tc>
        <w:tc>
          <w:tcPr>
            <w:tcW w:w="2131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电子资源</w:t>
            </w:r>
          </w:p>
          <w:p w:rsidR="00C84DB9" w:rsidRDefault="0053008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GB</w:t>
            </w:r>
            <w:r>
              <w:rPr>
                <w:rFonts w:hint="eastAsia"/>
              </w:rPr>
              <w:t>）</w:t>
            </w:r>
          </w:p>
        </w:tc>
      </w:tr>
      <w:tr w:rsidR="00C84DB9">
        <w:tc>
          <w:tcPr>
            <w:tcW w:w="2130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梧州学院</w:t>
            </w:r>
          </w:p>
        </w:tc>
        <w:tc>
          <w:tcPr>
            <w:tcW w:w="2130" w:type="dxa"/>
            <w:vAlign w:val="center"/>
          </w:tcPr>
          <w:p w:rsidR="00C84DB9" w:rsidRDefault="00C032F2" w:rsidP="00C032F2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57.48</w:t>
            </w:r>
          </w:p>
        </w:tc>
        <w:tc>
          <w:tcPr>
            <w:tcW w:w="2131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602850</w:t>
            </w:r>
          </w:p>
        </w:tc>
        <w:tc>
          <w:tcPr>
            <w:tcW w:w="2131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3850.5G</w:t>
            </w:r>
          </w:p>
        </w:tc>
      </w:tr>
    </w:tbl>
    <w:p w:rsidR="00C84DB9" w:rsidRDefault="00C84DB9"/>
    <w:p w:rsidR="00C84DB9" w:rsidRDefault="0053008F">
      <w:pPr>
        <w:outlineLvl w:val="0"/>
        <w:rPr>
          <w:b/>
          <w:bCs/>
        </w:rPr>
      </w:pPr>
      <w:bookmarkStart w:id="8" w:name="_Toc3324"/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：教学运行状态</w:t>
      </w:r>
      <w:bookmarkEnd w:id="8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84DB9">
        <w:tc>
          <w:tcPr>
            <w:tcW w:w="1704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704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全校开设课程总门数</w:t>
            </w:r>
          </w:p>
        </w:tc>
        <w:tc>
          <w:tcPr>
            <w:tcW w:w="1704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开课门数</w:t>
            </w:r>
          </w:p>
        </w:tc>
        <w:tc>
          <w:tcPr>
            <w:tcW w:w="170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主讲本科课程的教授占教授总数的比例（不含讲座）</w:t>
            </w:r>
          </w:p>
        </w:tc>
        <w:tc>
          <w:tcPr>
            <w:tcW w:w="170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教授授本科课程占课程总门次数的比例</w:t>
            </w:r>
          </w:p>
        </w:tc>
      </w:tr>
      <w:tr w:rsidR="00C84DB9">
        <w:tc>
          <w:tcPr>
            <w:tcW w:w="1704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梧州学院</w:t>
            </w:r>
          </w:p>
        </w:tc>
        <w:tc>
          <w:tcPr>
            <w:tcW w:w="1704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1180</w:t>
            </w:r>
          </w:p>
        </w:tc>
        <w:tc>
          <w:tcPr>
            <w:tcW w:w="1704" w:type="dxa"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170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88.24</w:t>
            </w:r>
          </w:p>
        </w:tc>
        <w:tc>
          <w:tcPr>
            <w:tcW w:w="170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6.36</w:t>
            </w:r>
          </w:p>
        </w:tc>
      </w:tr>
    </w:tbl>
    <w:p w:rsidR="00C84DB9" w:rsidRDefault="00C84DB9"/>
    <w:p w:rsidR="00C84DB9" w:rsidRDefault="0053008F">
      <w:pPr>
        <w:rPr>
          <w:b/>
          <w:bCs/>
        </w:rPr>
      </w:pPr>
      <w:bookmarkStart w:id="9" w:name="_Toc18486"/>
      <w:r>
        <w:rPr>
          <w:rFonts w:hint="eastAsia"/>
          <w:b/>
          <w:bCs/>
        </w:rPr>
        <w:lastRenderedPageBreak/>
        <w:t>表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：实践教学学分占总学分比例（分学科门类）</w:t>
      </w:r>
      <w:bookmarkEnd w:id="9"/>
    </w:p>
    <w:tbl>
      <w:tblPr>
        <w:tblStyle w:val="a3"/>
        <w:tblW w:w="8516" w:type="dxa"/>
        <w:tblLayout w:type="fixed"/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776"/>
        <w:gridCol w:w="776"/>
        <w:gridCol w:w="764"/>
      </w:tblGrid>
      <w:tr w:rsidR="00C84DB9"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哲学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经济学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法学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教育学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文学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理学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工学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农学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管理学</w:t>
            </w:r>
          </w:p>
        </w:tc>
        <w:tc>
          <w:tcPr>
            <w:tcW w:w="764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艺术学</w:t>
            </w:r>
          </w:p>
        </w:tc>
      </w:tr>
      <w:tr w:rsidR="00C84DB9"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梧州学院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14.97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29.81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19.32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43.73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27.61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30.39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32.16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32.7%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24.74</w:t>
            </w:r>
          </w:p>
        </w:tc>
        <w:tc>
          <w:tcPr>
            <w:tcW w:w="764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40.80</w:t>
            </w:r>
          </w:p>
        </w:tc>
      </w:tr>
    </w:tbl>
    <w:p w:rsidR="00C84DB9" w:rsidRDefault="00C84DB9"/>
    <w:p w:rsidR="00C84DB9" w:rsidRDefault="0053008F">
      <w:pPr>
        <w:outlineLvl w:val="0"/>
        <w:rPr>
          <w:b/>
          <w:bCs/>
        </w:rPr>
      </w:pPr>
      <w:bookmarkStart w:id="10" w:name="_Toc4339"/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：选修课学分占总学分比例（分学科门类）</w:t>
      </w:r>
      <w:bookmarkEnd w:id="10"/>
    </w:p>
    <w:tbl>
      <w:tblPr>
        <w:tblStyle w:val="a3"/>
        <w:tblW w:w="8516" w:type="dxa"/>
        <w:tblLayout w:type="fixed"/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776"/>
        <w:gridCol w:w="776"/>
        <w:gridCol w:w="764"/>
      </w:tblGrid>
      <w:tr w:rsidR="00C84DB9"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哲学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经济学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法学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教育学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文学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理学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工学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农学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管理学</w:t>
            </w:r>
          </w:p>
        </w:tc>
        <w:tc>
          <w:tcPr>
            <w:tcW w:w="764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艺术学</w:t>
            </w:r>
          </w:p>
        </w:tc>
      </w:tr>
      <w:tr w:rsidR="00C84DB9">
        <w:tc>
          <w:tcPr>
            <w:tcW w:w="775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梧州学院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15.57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16.76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14.77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17.45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20.94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21.19</w:t>
            </w:r>
          </w:p>
        </w:tc>
        <w:tc>
          <w:tcPr>
            <w:tcW w:w="775" w:type="dxa"/>
            <w:vAlign w:val="center"/>
          </w:tcPr>
          <w:p w:rsidR="00C84DB9" w:rsidRDefault="0053008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22.37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18.2%</w:t>
            </w:r>
          </w:p>
        </w:tc>
        <w:tc>
          <w:tcPr>
            <w:tcW w:w="776" w:type="dxa"/>
            <w:vAlign w:val="center"/>
          </w:tcPr>
          <w:p w:rsidR="00C84DB9" w:rsidRDefault="0053008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17.29</w:t>
            </w:r>
          </w:p>
        </w:tc>
        <w:tc>
          <w:tcPr>
            <w:tcW w:w="764" w:type="dxa"/>
            <w:vAlign w:val="center"/>
          </w:tcPr>
          <w:p w:rsidR="00C84DB9" w:rsidRDefault="0053008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25.60</w:t>
            </w:r>
          </w:p>
        </w:tc>
      </w:tr>
    </w:tbl>
    <w:p w:rsidR="00C84DB9" w:rsidRDefault="00C84DB9"/>
    <w:p w:rsidR="00C84DB9" w:rsidRDefault="0053008F">
      <w:pPr>
        <w:outlineLvl w:val="0"/>
        <w:rPr>
          <w:b/>
          <w:bCs/>
        </w:rPr>
      </w:pPr>
      <w:bookmarkStart w:id="11" w:name="_Toc4464"/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：毕业生情况</w:t>
      </w:r>
      <w:bookmarkEnd w:id="11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84DB9">
        <w:tc>
          <w:tcPr>
            <w:tcW w:w="1420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420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应届本科生毕业率</w:t>
            </w:r>
          </w:p>
        </w:tc>
        <w:tc>
          <w:tcPr>
            <w:tcW w:w="1420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应届本科生学位授予率</w:t>
            </w:r>
          </w:p>
        </w:tc>
        <w:tc>
          <w:tcPr>
            <w:tcW w:w="1420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应届本科生初次就业率</w:t>
            </w:r>
          </w:p>
        </w:tc>
        <w:tc>
          <w:tcPr>
            <w:tcW w:w="1421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升学率</w:t>
            </w:r>
          </w:p>
        </w:tc>
        <w:tc>
          <w:tcPr>
            <w:tcW w:w="1421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体质达标率</w:t>
            </w:r>
          </w:p>
        </w:tc>
      </w:tr>
      <w:tr w:rsidR="00C84DB9">
        <w:tc>
          <w:tcPr>
            <w:tcW w:w="1420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梧州学院</w:t>
            </w:r>
          </w:p>
        </w:tc>
        <w:tc>
          <w:tcPr>
            <w:tcW w:w="1420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86.91</w:t>
            </w:r>
          </w:p>
        </w:tc>
        <w:tc>
          <w:tcPr>
            <w:tcW w:w="1420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94.45</w:t>
            </w:r>
          </w:p>
        </w:tc>
        <w:tc>
          <w:tcPr>
            <w:tcW w:w="1420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92.84</w:t>
            </w:r>
          </w:p>
        </w:tc>
        <w:tc>
          <w:tcPr>
            <w:tcW w:w="1421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1.46</w:t>
            </w:r>
          </w:p>
        </w:tc>
        <w:tc>
          <w:tcPr>
            <w:tcW w:w="1421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92.38</w:t>
            </w:r>
          </w:p>
        </w:tc>
      </w:tr>
    </w:tbl>
    <w:p w:rsidR="00C84DB9" w:rsidRDefault="00C84DB9"/>
    <w:p w:rsidR="00C84DB9" w:rsidRDefault="0053008F">
      <w:pPr>
        <w:outlineLvl w:val="0"/>
        <w:rPr>
          <w:b/>
          <w:bCs/>
        </w:rPr>
      </w:pPr>
      <w:bookmarkStart w:id="12" w:name="_Toc25104"/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：其他与本科教学质量相关数据</w:t>
      </w:r>
      <w:bookmarkEnd w:id="12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87"/>
        <w:gridCol w:w="1206"/>
        <w:gridCol w:w="947"/>
        <w:gridCol w:w="947"/>
        <w:gridCol w:w="947"/>
        <w:gridCol w:w="947"/>
        <w:gridCol w:w="947"/>
        <w:gridCol w:w="947"/>
        <w:gridCol w:w="947"/>
      </w:tblGrid>
      <w:tr w:rsidR="00C84DB9">
        <w:tc>
          <w:tcPr>
            <w:tcW w:w="687" w:type="dxa"/>
            <w:vMerge w:val="restart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206" w:type="dxa"/>
            <w:vMerge w:val="restart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</w:pPr>
            <w:r>
              <w:rPr>
                <w:rFonts w:ascii="宋体" w:eastAsia="宋体" w:hAnsi="宋体" w:cs="Calibri" w:hint="eastAsia"/>
                <w:szCs w:val="21"/>
              </w:rPr>
              <w:t>学生转专业人数比例</w:t>
            </w:r>
          </w:p>
        </w:tc>
        <w:tc>
          <w:tcPr>
            <w:tcW w:w="947" w:type="dxa"/>
            <w:vMerge w:val="restart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校外实习基地数</w:t>
            </w:r>
          </w:p>
        </w:tc>
        <w:tc>
          <w:tcPr>
            <w:tcW w:w="4735" w:type="dxa"/>
            <w:gridSpan w:val="5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交流人数</w:t>
            </w:r>
          </w:p>
        </w:tc>
        <w:tc>
          <w:tcPr>
            <w:tcW w:w="947" w:type="dxa"/>
            <w:vAlign w:val="center"/>
          </w:tcPr>
          <w:p w:rsidR="00C84DB9" w:rsidRDefault="00C84DB9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</w:p>
        </w:tc>
      </w:tr>
      <w:tr w:rsidR="00C84DB9">
        <w:tc>
          <w:tcPr>
            <w:tcW w:w="687" w:type="dxa"/>
            <w:vMerge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947" w:type="dxa"/>
            <w:vMerge/>
            <w:vAlign w:val="center"/>
          </w:tcPr>
          <w:p w:rsidR="00C84DB9" w:rsidRDefault="00C84DB9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总数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其中：本校到到境外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本校到境内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境内到本校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境外到本校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tabs>
                <w:tab w:val="right" w:leader="dot" w:pos="8948"/>
              </w:tabs>
              <w:jc w:val="center"/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当年学生补考和重修人次</w:t>
            </w:r>
          </w:p>
        </w:tc>
      </w:tr>
      <w:tr w:rsidR="00C84DB9">
        <w:tc>
          <w:tcPr>
            <w:tcW w:w="68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梧州学院</w:t>
            </w:r>
          </w:p>
        </w:tc>
        <w:tc>
          <w:tcPr>
            <w:tcW w:w="1206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0.52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47" w:type="dxa"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947" w:type="dxa"/>
            <w:vAlign w:val="center"/>
          </w:tcPr>
          <w:p w:rsidR="00C84DB9" w:rsidRDefault="00C84DB9">
            <w:pPr>
              <w:jc w:val="center"/>
            </w:pP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947" w:type="dxa"/>
            <w:vAlign w:val="center"/>
          </w:tcPr>
          <w:p w:rsidR="00C84DB9" w:rsidRDefault="0053008F">
            <w:pPr>
              <w:jc w:val="center"/>
            </w:pPr>
            <w:r>
              <w:rPr>
                <w:rFonts w:hint="eastAsia"/>
              </w:rPr>
              <w:t>3759</w:t>
            </w:r>
          </w:p>
        </w:tc>
      </w:tr>
    </w:tbl>
    <w:p w:rsidR="00C84DB9" w:rsidRDefault="00C84DB9"/>
    <w:p w:rsidR="00C84DB9" w:rsidRDefault="0053008F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数据的计算文法参照《教育部关于印发</w:t>
      </w:r>
      <w:r>
        <w:rPr>
          <w:rFonts w:hint="eastAsia"/>
        </w:rPr>
        <w:t>&lt;</w:t>
      </w:r>
      <w:r>
        <w:rPr>
          <w:rFonts w:hint="eastAsia"/>
        </w:rPr>
        <w:t>普通高等学校基本办学条件指标（试行）</w:t>
      </w:r>
      <w:r>
        <w:rPr>
          <w:rFonts w:hint="eastAsia"/>
        </w:rPr>
        <w:t>&gt;</w:t>
      </w:r>
      <w:r>
        <w:rPr>
          <w:rFonts w:hint="eastAsia"/>
        </w:rPr>
        <w:t>的通知【教发</w:t>
      </w:r>
      <w:r>
        <w:rPr>
          <w:rFonts w:hint="eastAsia"/>
        </w:rPr>
        <w:t xml:space="preserve"> [2004]2</w:t>
      </w:r>
      <w:r>
        <w:rPr>
          <w:rFonts w:hint="eastAsia"/>
        </w:rPr>
        <w:t>号】》文件。</w:t>
      </w:r>
    </w:p>
    <w:p w:rsidR="00C84DB9" w:rsidRDefault="0053008F">
      <w:pPr>
        <w:ind w:firstLineChars="200" w:firstLine="420"/>
        <w:rPr>
          <w:szCs w:val="21"/>
        </w:rPr>
      </w:pPr>
      <w:r>
        <w:rPr>
          <w:rFonts w:hint="eastAsia"/>
        </w:rPr>
        <w:t>2.</w:t>
      </w:r>
      <w:r>
        <w:rPr>
          <w:rFonts w:hint="eastAsia"/>
          <w:szCs w:val="21"/>
        </w:rPr>
        <w:t>财务数据（如经费、工资等）按照自然年度计算，截止到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年年底；教学数据（学生、教师、专业、课程等）应按照学年度计算，为</w:t>
      </w:r>
      <w:r>
        <w:rPr>
          <w:rFonts w:hint="eastAsia"/>
          <w:szCs w:val="21"/>
        </w:rPr>
        <w:t>2016-2017</w:t>
      </w:r>
      <w:r>
        <w:rPr>
          <w:rFonts w:hint="eastAsia"/>
          <w:szCs w:val="21"/>
        </w:rPr>
        <w:t>学年。</w:t>
      </w:r>
    </w:p>
    <w:p w:rsidR="00C84DB9" w:rsidRDefault="0053008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中的“生均本科教学日常运行支出”指学校开展普通本专科教学活动及其辅助活动发生的支出，仅指教学基本支出中的商品和服务支出（</w:t>
      </w:r>
      <w:r>
        <w:rPr>
          <w:rFonts w:hint="eastAsia"/>
          <w:szCs w:val="21"/>
        </w:rPr>
        <w:t>302</w:t>
      </w:r>
      <w:r>
        <w:rPr>
          <w:rFonts w:hint="eastAsia"/>
          <w:szCs w:val="21"/>
        </w:rPr>
        <w:t>类）（不含教学专项拨款支出），具体包括：教学教辅部门发生的办公费（含考试考务费、手续费等）、印刷费、咨询费、邮电费、交通费、差旅费、出国费、维修（护）费、租赁费、会议费、培训费、专用材料费（含体育维持费等）、劳务费、其他教学商品和服务支出（含学生活动费、教学咨询研究机构会员费、教学改革科研业务费、委托业务费等）。取会计决算数。</w:t>
      </w:r>
    </w:p>
    <w:p w:rsidR="00C84DB9" w:rsidRDefault="0053008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质量报告中的各项数据均保留小数点后两位数字。</w:t>
      </w:r>
    </w:p>
    <w:p w:rsidR="00C84DB9" w:rsidRDefault="00C84DB9">
      <w:pPr>
        <w:ind w:firstLineChars="200" w:firstLine="420"/>
        <w:rPr>
          <w:szCs w:val="21"/>
        </w:rPr>
      </w:pPr>
    </w:p>
    <w:p w:rsidR="00C84DB9" w:rsidRDefault="00C84DB9">
      <w:pPr>
        <w:rPr>
          <w:szCs w:val="21"/>
        </w:rPr>
      </w:pPr>
    </w:p>
    <w:sectPr w:rsidR="00C8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99" w:rsidRDefault="005F6B99" w:rsidP="000648AA">
      <w:r>
        <w:separator/>
      </w:r>
    </w:p>
  </w:endnote>
  <w:endnote w:type="continuationSeparator" w:id="0">
    <w:p w:rsidR="005F6B99" w:rsidRDefault="005F6B99" w:rsidP="0006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99" w:rsidRDefault="005F6B99" w:rsidP="000648AA">
      <w:r>
        <w:separator/>
      </w:r>
    </w:p>
  </w:footnote>
  <w:footnote w:type="continuationSeparator" w:id="0">
    <w:p w:rsidR="005F6B99" w:rsidRDefault="005F6B99" w:rsidP="0006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B9"/>
    <w:rsid w:val="000648AA"/>
    <w:rsid w:val="0053008F"/>
    <w:rsid w:val="005F6B99"/>
    <w:rsid w:val="00A16E2C"/>
    <w:rsid w:val="00C032F2"/>
    <w:rsid w:val="00C84DB9"/>
    <w:rsid w:val="00FC173E"/>
    <w:rsid w:val="037C6D82"/>
    <w:rsid w:val="047B47E3"/>
    <w:rsid w:val="05B24561"/>
    <w:rsid w:val="07CD2992"/>
    <w:rsid w:val="083852F4"/>
    <w:rsid w:val="08D1365A"/>
    <w:rsid w:val="09FA25C8"/>
    <w:rsid w:val="0AA93015"/>
    <w:rsid w:val="0C6A5865"/>
    <w:rsid w:val="12BF5DEA"/>
    <w:rsid w:val="138A58BB"/>
    <w:rsid w:val="19F34A06"/>
    <w:rsid w:val="1ADA35EE"/>
    <w:rsid w:val="1B393E17"/>
    <w:rsid w:val="1C6617F9"/>
    <w:rsid w:val="1D932E1B"/>
    <w:rsid w:val="225E1318"/>
    <w:rsid w:val="22ED6757"/>
    <w:rsid w:val="247A62AC"/>
    <w:rsid w:val="266B300F"/>
    <w:rsid w:val="2B035E27"/>
    <w:rsid w:val="2BD5709B"/>
    <w:rsid w:val="2CB66926"/>
    <w:rsid w:val="2FD611C7"/>
    <w:rsid w:val="33050DFC"/>
    <w:rsid w:val="3476792D"/>
    <w:rsid w:val="36F150A2"/>
    <w:rsid w:val="380F75FC"/>
    <w:rsid w:val="3A75577A"/>
    <w:rsid w:val="3C4635E8"/>
    <w:rsid w:val="3C802321"/>
    <w:rsid w:val="3D6A604E"/>
    <w:rsid w:val="3DCB579D"/>
    <w:rsid w:val="3F4933EE"/>
    <w:rsid w:val="3FBD4331"/>
    <w:rsid w:val="42D2327E"/>
    <w:rsid w:val="47205FFF"/>
    <w:rsid w:val="49807D9E"/>
    <w:rsid w:val="4B9D0743"/>
    <w:rsid w:val="4C672574"/>
    <w:rsid w:val="50A83CE1"/>
    <w:rsid w:val="546F1870"/>
    <w:rsid w:val="553432AD"/>
    <w:rsid w:val="55F21BBC"/>
    <w:rsid w:val="561E7FAC"/>
    <w:rsid w:val="58836BAC"/>
    <w:rsid w:val="5BF7360A"/>
    <w:rsid w:val="5CE8731D"/>
    <w:rsid w:val="5FCC5053"/>
    <w:rsid w:val="60DA65D7"/>
    <w:rsid w:val="61F861D7"/>
    <w:rsid w:val="62411EA4"/>
    <w:rsid w:val="63422443"/>
    <w:rsid w:val="69C80BA2"/>
    <w:rsid w:val="6B522751"/>
    <w:rsid w:val="6CDE5E4C"/>
    <w:rsid w:val="6D9677ED"/>
    <w:rsid w:val="72CC6029"/>
    <w:rsid w:val="79F4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</w:style>
  <w:style w:type="paragraph" w:styleId="a4">
    <w:name w:val="Balloon Text"/>
    <w:basedOn w:val="a"/>
    <w:link w:val="Char"/>
    <w:rsid w:val="0053008F"/>
    <w:rPr>
      <w:sz w:val="18"/>
      <w:szCs w:val="18"/>
    </w:rPr>
  </w:style>
  <w:style w:type="character" w:customStyle="1" w:styleId="Char">
    <w:name w:val="批注框文本 Char"/>
    <w:basedOn w:val="a0"/>
    <w:link w:val="a4"/>
    <w:rsid w:val="005300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06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648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064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648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</w:style>
  <w:style w:type="paragraph" w:styleId="a4">
    <w:name w:val="Balloon Text"/>
    <w:basedOn w:val="a"/>
    <w:link w:val="Char"/>
    <w:rsid w:val="0053008F"/>
    <w:rPr>
      <w:sz w:val="18"/>
      <w:szCs w:val="18"/>
    </w:rPr>
  </w:style>
  <w:style w:type="character" w:customStyle="1" w:styleId="Char">
    <w:name w:val="批注框文本 Char"/>
    <w:basedOn w:val="a0"/>
    <w:link w:val="a4"/>
    <w:rsid w:val="005300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06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648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064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648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aa6ea51c-cc56-4781-b232-3bb183fc122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6EA51C-CC56-4781-B232-3BB183FC1223}"/>
      </w:docPartPr>
      <w:docPartBody>
        <w:p w:rsidR="00C22D44" w:rsidRDefault="002C632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f4e9128-0c50-4376-90e4-d5f2d547f76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4E9128-0C50-4376-90E4-D5F2D547F762}"/>
      </w:docPartPr>
      <w:docPartBody>
        <w:p w:rsidR="00C22D44" w:rsidRDefault="002C632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68f6ab2-3d5b-4565-be4b-b48764b2d90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8F6AB2-3D5B-4565-BE4B-B48764B2D90B}"/>
      </w:docPartPr>
      <w:docPartBody>
        <w:p w:rsidR="00C22D44" w:rsidRDefault="002C632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36bd21f-9a4b-48fd-a1ac-1067b11af3e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6BD21F-9A4B-48FD-A1AC-1067B11AF3ED}"/>
      </w:docPartPr>
      <w:docPartBody>
        <w:p w:rsidR="00C22D44" w:rsidRDefault="002C632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1543282-dff7-4260-8b7f-8701e763092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543282-DFF7-4260-8B7F-8701E7630923}"/>
      </w:docPartPr>
      <w:docPartBody>
        <w:p w:rsidR="00C22D44" w:rsidRDefault="002C632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44d1956-700e-4047-84f7-66f3002afe0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4D1956-700E-4047-84F7-66F3002AFE00}"/>
      </w:docPartPr>
      <w:docPartBody>
        <w:p w:rsidR="00C22D44" w:rsidRDefault="002C632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e9bd3f4-9acb-4269-aa9b-561a0a5e600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9BD3F4-9ACB-4269-AA9B-561A0A5E6001}"/>
      </w:docPartPr>
      <w:docPartBody>
        <w:p w:rsidR="00C22D44" w:rsidRDefault="002C632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7ce98f8-c788-47be-8490-ef2e57e6838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CE98F8-C788-47BE-8490-EF2E57E68384}"/>
      </w:docPartPr>
      <w:docPartBody>
        <w:p w:rsidR="00C22D44" w:rsidRDefault="002C632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d6fdb31-0a6f-430e-ad9b-aff924fd422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6FDB31-0A6F-430E-AD9B-AFF924FD4224}"/>
      </w:docPartPr>
      <w:docPartBody>
        <w:p w:rsidR="00C22D44" w:rsidRDefault="002C632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85e33bf-25a5-4059-b162-266ff57a228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5E33BF-25A5-4059-B162-266FF57A2283}"/>
      </w:docPartPr>
      <w:docPartBody>
        <w:p w:rsidR="00C22D44" w:rsidRDefault="002C6327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C22D44"/>
    <w:rsid w:val="002C6327"/>
    <w:rsid w:val="00AD5B37"/>
    <w:rsid w:val="00C2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2018-01-18T07:24:00Z</dcterms:created>
  <dcterms:modified xsi:type="dcterms:W3CDTF">2018-01-18T07:43:00Z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